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4D8" w:rsidRPr="00D837F8" w:rsidRDefault="00D837F8">
      <w:pPr>
        <w:rPr>
          <w:b/>
        </w:rPr>
      </w:pPr>
      <w:r w:rsidRPr="00D837F8">
        <w:rPr>
          <w:b/>
        </w:rPr>
        <w:t>Format of the Catch certificates and Processing Statement</w:t>
      </w:r>
    </w:p>
    <w:p w:rsidR="00D837F8" w:rsidRDefault="00CA2552">
      <w:hyperlink r:id="rId7" w:history="1">
        <w:r w:rsidR="00D837F8" w:rsidRPr="00D837F8">
          <w:rPr>
            <w:rStyle w:val="Hyperlink"/>
          </w:rPr>
          <w:t>Council Regulations (EC) No 1005/2008</w:t>
        </w:r>
      </w:hyperlink>
      <w:r w:rsidR="00D837F8">
        <w:t xml:space="preserve"> lays down the format of the full catch certificate and the processing statement. </w:t>
      </w:r>
    </w:p>
    <w:p w:rsidR="00D837F8" w:rsidRDefault="00CA2552">
      <w:hyperlink r:id="rId8" w:history="1">
        <w:r w:rsidR="00D837F8" w:rsidRPr="00D837F8">
          <w:rPr>
            <w:rStyle w:val="Hyperlink"/>
          </w:rPr>
          <w:t>Commission Regulation (EC) No 1010/2009</w:t>
        </w:r>
      </w:hyperlink>
      <w:r w:rsidR="00D837F8">
        <w:t xml:space="preserve"> lays down the format of the simplified catch certificate.</w:t>
      </w:r>
    </w:p>
    <w:p w:rsidR="004D5C8B" w:rsidRDefault="004D5C8B"/>
    <w:p w:rsidR="00EA417E" w:rsidRDefault="00D837F8" w:rsidP="00EA417E">
      <w:pPr>
        <w:pStyle w:val="NoSpacing"/>
      </w:pPr>
      <w:r w:rsidRPr="00331C17">
        <w:rPr>
          <w:b/>
        </w:rPr>
        <w:t>Full catch certificate</w:t>
      </w:r>
      <w:r>
        <w:t xml:space="preserve"> (Annex II</w:t>
      </w:r>
      <w:r w:rsidR="009B7478">
        <w:t xml:space="preserve"> of 1005/2008</w:t>
      </w:r>
      <w:r>
        <w:t>) – see pages 2-4</w:t>
      </w:r>
      <w:r w:rsidR="009B7478">
        <w:t xml:space="preserve"> of this document</w:t>
      </w:r>
      <w:r>
        <w:t>.</w:t>
      </w:r>
    </w:p>
    <w:p w:rsidR="00EA417E" w:rsidRDefault="00EA417E" w:rsidP="00EA417E">
      <w:pPr>
        <w:pStyle w:val="NoSpacing"/>
      </w:pPr>
      <w:r>
        <w:t>A number of countries have bilateral agreements with the European Commission. As part of these agreements, the Commission have agreed specific formats of the catch certificate. Copies of the agreed formats have been published in</w:t>
      </w:r>
      <w:r w:rsidR="00331C17">
        <w:t xml:space="preserve"> Annex IX of </w:t>
      </w:r>
      <w:hyperlink r:id="rId9" w:history="1">
        <w:r w:rsidR="00331C17" w:rsidRPr="00331C17">
          <w:rPr>
            <w:rStyle w:val="Hyperlink"/>
          </w:rPr>
          <w:t>Commission Regulation (EC) No 1010/2009</w:t>
        </w:r>
      </w:hyperlink>
      <w:r>
        <w:t>.</w:t>
      </w:r>
      <w:r w:rsidR="00331C17">
        <w:t xml:space="preserve"> The countries are: Norway, United States, New Zealand, Iceland, Canada, Faroe Islands and South Africa. Some of these have electronic catch certificates. </w:t>
      </w:r>
    </w:p>
    <w:p w:rsidR="00EA417E" w:rsidRDefault="00EA417E" w:rsidP="00EA417E">
      <w:pPr>
        <w:pStyle w:val="NoSpacing"/>
      </w:pPr>
      <w:r>
        <w:t xml:space="preserve">MMO have produced guidance on electronic catch certification arrangements – Norway, </w:t>
      </w:r>
      <w:r w:rsidR="00331C17">
        <w:t xml:space="preserve">USA, Canada, Mexico, Turkey, Maldives, Greenland, Faroe Islands, Iceland, New Zealand, </w:t>
      </w:r>
      <w:proofErr w:type="gramStart"/>
      <w:r w:rsidR="00331C17">
        <w:t>South</w:t>
      </w:r>
      <w:proofErr w:type="gramEnd"/>
      <w:r w:rsidR="00331C17">
        <w:t xml:space="preserve"> Africa. This guidance is available on </w:t>
      </w:r>
      <w:r w:rsidR="003B193D">
        <w:t xml:space="preserve">the MMO’s Learning Management System </w:t>
      </w:r>
      <w:hyperlink r:id="rId10" w:history="1">
        <w:r w:rsidR="003B193D">
          <w:rPr>
            <w:rStyle w:val="Hyperlink"/>
          </w:rPr>
          <w:t>https://www.mmotraining.org.uk/</w:t>
        </w:r>
      </w:hyperlink>
      <w:r w:rsidR="003B193D">
        <w:t>.</w:t>
      </w:r>
    </w:p>
    <w:p w:rsidR="00EA417E" w:rsidRDefault="00EA417E" w:rsidP="00EA417E">
      <w:pPr>
        <w:pStyle w:val="NoSpacing"/>
      </w:pPr>
      <w:r>
        <w:t xml:space="preserve"> </w:t>
      </w:r>
    </w:p>
    <w:p w:rsidR="003B193D" w:rsidRDefault="003B193D">
      <w:pPr>
        <w:rPr>
          <w:b/>
        </w:rPr>
      </w:pPr>
    </w:p>
    <w:p w:rsidR="00CA2552" w:rsidRDefault="009B7478" w:rsidP="00CA2552">
      <w:pPr>
        <w:pStyle w:val="NoSpacing"/>
      </w:pPr>
      <w:r w:rsidRPr="003B193D">
        <w:rPr>
          <w:b/>
        </w:rPr>
        <w:t>Simplified catch certificate</w:t>
      </w:r>
      <w:r>
        <w:t xml:space="preserve"> (Annex IV of 1010/2009) –</w:t>
      </w:r>
      <w:r w:rsidR="00CA2552">
        <w:t xml:space="preserve"> see pages 5-7 of this document.</w:t>
      </w:r>
    </w:p>
    <w:p w:rsidR="00CA2552" w:rsidRDefault="00CA2552" w:rsidP="00CA2552">
      <w:pPr>
        <w:pStyle w:val="NoSpacing"/>
      </w:pPr>
      <w:r>
        <w:t xml:space="preserve">The criteria under which the simplified catch certificate can be used by exporters are included in Article 6 of </w:t>
      </w:r>
      <w:proofErr w:type="spellStart"/>
      <w:r>
        <w:t>Reg</w:t>
      </w:r>
      <w:proofErr w:type="spellEnd"/>
      <w:r>
        <w:t xml:space="preserve"> 1010/2009 (vessel size </w:t>
      </w:r>
      <w:proofErr w:type="spellStart"/>
      <w:r>
        <w:t>etc</w:t>
      </w:r>
      <w:proofErr w:type="spellEnd"/>
      <w:r>
        <w:t>).</w:t>
      </w:r>
    </w:p>
    <w:p w:rsidR="00CA2552" w:rsidRPr="00CA2552" w:rsidRDefault="00CA2552" w:rsidP="00CA2552">
      <w:pPr>
        <w:pStyle w:val="NormalWeb"/>
        <w:shd w:val="clear" w:color="auto" w:fill="FFFFFF"/>
        <w:spacing w:before="0" w:beforeAutospacing="0" w:after="150" w:afterAutospacing="0"/>
        <w:rPr>
          <w:rFonts w:asciiTheme="minorHAnsi" w:hAnsiTheme="minorHAnsi" w:cstheme="minorHAnsi"/>
          <w:color w:val="222222"/>
          <w:sz w:val="22"/>
          <w:szCs w:val="22"/>
        </w:rPr>
      </w:pPr>
      <w:r w:rsidRPr="00CA2552">
        <w:rPr>
          <w:rFonts w:asciiTheme="minorHAnsi" w:hAnsiTheme="minorHAnsi" w:cstheme="minorHAnsi"/>
          <w:color w:val="222222"/>
          <w:sz w:val="22"/>
          <w:szCs w:val="22"/>
        </w:rPr>
        <w:t>In practice there is little that can be done to establish whether the vessels on the certificate are eligible to use this certificate, however if you are suspicious perhaps based on the size of the catch for example verifications can be carried out by the MMO.</w:t>
      </w:r>
    </w:p>
    <w:p w:rsidR="00CA2552" w:rsidRDefault="00CA2552" w:rsidP="00CA2552">
      <w:pPr>
        <w:pStyle w:val="NoSpacing"/>
      </w:pPr>
    </w:p>
    <w:p w:rsidR="004D5C8B" w:rsidRDefault="004D5C8B">
      <w:r w:rsidRPr="003B193D">
        <w:rPr>
          <w:b/>
        </w:rPr>
        <w:t>Processing statement</w:t>
      </w:r>
      <w:r>
        <w:t xml:space="preserve"> (Annex IV of 1005/2008) – see page 8 of this document.</w:t>
      </w:r>
    </w:p>
    <w:p w:rsidR="003B193D" w:rsidRDefault="003B193D"/>
    <w:p w:rsidR="00EA417E" w:rsidRDefault="003B193D">
      <w:r w:rsidRPr="003B193D">
        <w:rPr>
          <w:b/>
        </w:rPr>
        <w:t>Storage document</w:t>
      </w:r>
      <w:r>
        <w:t xml:space="preserve"> – no agreed format laid down in legislation.</w:t>
      </w:r>
    </w:p>
    <w:p w:rsidR="00CA2552" w:rsidRDefault="00CA2552"/>
    <w:p w:rsidR="00CA2552" w:rsidRPr="00CA2552" w:rsidRDefault="00CA2552" w:rsidP="00CA2552">
      <w:pPr>
        <w:pStyle w:val="NoSpacing"/>
        <w:rPr>
          <w:b/>
        </w:rPr>
      </w:pPr>
      <w:r w:rsidRPr="00CA2552">
        <w:rPr>
          <w:b/>
        </w:rPr>
        <w:t>Other Catch Certificate Schemes</w:t>
      </w:r>
    </w:p>
    <w:p w:rsidR="00CA2552" w:rsidRPr="00CA2552" w:rsidRDefault="00CA2552" w:rsidP="00CA2552">
      <w:pPr>
        <w:pStyle w:val="NormalWeb"/>
        <w:shd w:val="clear" w:color="auto" w:fill="FFFFFF"/>
        <w:spacing w:before="0" w:beforeAutospacing="0" w:after="150" w:afterAutospacing="0"/>
        <w:rPr>
          <w:rFonts w:asciiTheme="minorHAnsi" w:hAnsiTheme="minorHAnsi" w:cstheme="minorHAnsi"/>
          <w:color w:val="222222"/>
          <w:sz w:val="22"/>
          <w:szCs w:val="22"/>
        </w:rPr>
      </w:pPr>
      <w:r w:rsidRPr="00CA2552">
        <w:rPr>
          <w:rFonts w:asciiTheme="minorHAnsi" w:hAnsiTheme="minorHAnsi" w:cstheme="minorHAnsi"/>
          <w:color w:val="222222"/>
          <w:sz w:val="22"/>
          <w:szCs w:val="22"/>
        </w:rPr>
        <w:t>In addition to the standard, the country specific and the simplified IUU catch certificates, the Commission has approved the catch certificate schemes of three Regional Fisheries Management Organisations (RFMOs). These documents may be accepted as an alternative to the IUU catch certificates for the species concerned.</w:t>
      </w:r>
    </w:p>
    <w:p w:rsidR="00CA2552" w:rsidRPr="00CA2552" w:rsidRDefault="00CA2552" w:rsidP="00CA2552">
      <w:pPr>
        <w:pStyle w:val="NormalWeb"/>
        <w:shd w:val="clear" w:color="auto" w:fill="FFFFFF"/>
        <w:spacing w:before="0" w:beforeAutospacing="0" w:after="150" w:afterAutospacing="0"/>
        <w:rPr>
          <w:rFonts w:asciiTheme="minorHAnsi" w:hAnsiTheme="minorHAnsi" w:cstheme="minorHAnsi"/>
          <w:color w:val="222222"/>
          <w:sz w:val="22"/>
          <w:szCs w:val="22"/>
        </w:rPr>
      </w:pPr>
      <w:r w:rsidRPr="00CA2552">
        <w:rPr>
          <w:rFonts w:asciiTheme="minorHAnsi" w:hAnsiTheme="minorHAnsi" w:cstheme="minorHAnsi"/>
          <w:color w:val="222222"/>
          <w:sz w:val="22"/>
          <w:szCs w:val="22"/>
        </w:rPr>
        <w:t>The eligible schemes are set out in Annex V of Regulation 1010/2009 and currently include:</w:t>
      </w:r>
      <w:bookmarkStart w:id="0" w:name="_GoBack"/>
      <w:bookmarkEnd w:id="0"/>
    </w:p>
    <w:p w:rsidR="00CA2552" w:rsidRPr="00CA2552" w:rsidRDefault="00CA2552" w:rsidP="00CA2552">
      <w:pPr>
        <w:numPr>
          <w:ilvl w:val="0"/>
          <w:numId w:val="1"/>
        </w:numPr>
        <w:shd w:val="clear" w:color="auto" w:fill="FFFFFF"/>
        <w:spacing w:before="100" w:beforeAutospacing="1" w:after="100" w:afterAutospacing="1" w:line="300" w:lineRule="atLeast"/>
        <w:ind w:left="375"/>
        <w:rPr>
          <w:rFonts w:cstheme="minorHAnsi"/>
          <w:color w:val="222222"/>
        </w:rPr>
      </w:pPr>
      <w:r w:rsidRPr="00CA2552">
        <w:rPr>
          <w:rFonts w:cstheme="minorHAnsi"/>
          <w:color w:val="222222"/>
        </w:rPr>
        <w:t xml:space="preserve">CCAMLR </w:t>
      </w:r>
      <w:proofErr w:type="spellStart"/>
      <w:r w:rsidRPr="00CA2552">
        <w:rPr>
          <w:rFonts w:cstheme="minorHAnsi"/>
          <w:color w:val="222222"/>
        </w:rPr>
        <w:t>Toothfish</w:t>
      </w:r>
      <w:proofErr w:type="spellEnd"/>
      <w:r w:rsidRPr="00CA2552">
        <w:rPr>
          <w:rFonts w:cstheme="minorHAnsi"/>
          <w:color w:val="222222"/>
        </w:rPr>
        <w:t xml:space="preserve"> scheme</w:t>
      </w:r>
    </w:p>
    <w:p w:rsidR="00CA2552" w:rsidRPr="00CA2552" w:rsidRDefault="00CA2552" w:rsidP="00CA2552">
      <w:pPr>
        <w:numPr>
          <w:ilvl w:val="0"/>
          <w:numId w:val="1"/>
        </w:numPr>
        <w:shd w:val="clear" w:color="auto" w:fill="FFFFFF"/>
        <w:spacing w:before="100" w:beforeAutospacing="1" w:after="100" w:afterAutospacing="1" w:line="300" w:lineRule="atLeast"/>
        <w:ind w:left="375"/>
        <w:rPr>
          <w:rFonts w:cstheme="minorHAnsi"/>
          <w:color w:val="222222"/>
        </w:rPr>
      </w:pPr>
      <w:r w:rsidRPr="00CA2552">
        <w:rPr>
          <w:rFonts w:cstheme="minorHAnsi"/>
          <w:color w:val="222222"/>
        </w:rPr>
        <w:t>ICCAT Bluefin tuna Catch Documentation Programme</w:t>
      </w:r>
    </w:p>
    <w:p w:rsidR="00CA2552" w:rsidRPr="00CA2552" w:rsidRDefault="00CA2552" w:rsidP="00CA2552">
      <w:pPr>
        <w:numPr>
          <w:ilvl w:val="0"/>
          <w:numId w:val="1"/>
        </w:numPr>
        <w:shd w:val="clear" w:color="auto" w:fill="FFFFFF"/>
        <w:spacing w:before="100" w:beforeAutospacing="1" w:after="100" w:afterAutospacing="1" w:line="300" w:lineRule="atLeast"/>
        <w:ind w:left="375"/>
        <w:rPr>
          <w:rFonts w:cstheme="minorHAnsi"/>
          <w:color w:val="222222"/>
        </w:rPr>
      </w:pPr>
      <w:r w:rsidRPr="00CA2552">
        <w:rPr>
          <w:rFonts w:cstheme="minorHAnsi"/>
          <w:color w:val="222222"/>
        </w:rPr>
        <w:t>CCSBT (Commission for the Conservation of Southern Bluefin Tuna) catch document scheme: but must also include the transport details, as specified in the Appendix on transport included in Annex II of the Regulation.</w:t>
      </w:r>
    </w:p>
    <w:p w:rsidR="00CA2552" w:rsidRDefault="00CA2552" w:rsidP="00CA2552">
      <w:pPr>
        <w:pStyle w:val="NoSpacing"/>
      </w:pPr>
    </w:p>
    <w:p w:rsidR="00D837F8" w:rsidRDefault="00D837F8">
      <w:r w:rsidRPr="00D837F8">
        <w:rPr>
          <w:noProof/>
          <w:lang w:eastAsia="en-GB"/>
        </w:rPr>
        <w:drawing>
          <wp:inline distT="0" distB="0" distL="0" distR="0" wp14:anchorId="05172F2E" wp14:editId="785D44F0">
            <wp:extent cx="4944165" cy="7573432"/>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44165" cy="7573432"/>
                    </a:xfrm>
                    <a:prstGeom prst="rect">
                      <a:avLst/>
                    </a:prstGeom>
                  </pic:spPr>
                </pic:pic>
              </a:graphicData>
            </a:graphic>
          </wp:inline>
        </w:drawing>
      </w:r>
    </w:p>
    <w:p w:rsidR="00D837F8" w:rsidRDefault="00D837F8">
      <w:r w:rsidRPr="00D837F8">
        <w:rPr>
          <w:noProof/>
          <w:lang w:eastAsia="en-GB"/>
        </w:rPr>
        <w:lastRenderedPageBreak/>
        <w:drawing>
          <wp:inline distT="0" distB="0" distL="0" distR="0" wp14:anchorId="340DD769" wp14:editId="31BCD360">
            <wp:extent cx="4582164" cy="756390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82164" cy="7563906"/>
                    </a:xfrm>
                    <a:prstGeom prst="rect">
                      <a:avLst/>
                    </a:prstGeom>
                  </pic:spPr>
                </pic:pic>
              </a:graphicData>
            </a:graphic>
          </wp:inline>
        </w:drawing>
      </w:r>
    </w:p>
    <w:p w:rsidR="00D837F8" w:rsidRDefault="00D837F8">
      <w:r w:rsidRPr="00D837F8">
        <w:rPr>
          <w:noProof/>
          <w:lang w:eastAsia="en-GB"/>
        </w:rPr>
        <w:lastRenderedPageBreak/>
        <w:drawing>
          <wp:inline distT="0" distB="0" distL="0" distR="0" wp14:anchorId="60DAD86C" wp14:editId="70C98304">
            <wp:extent cx="5439534" cy="3305636"/>
            <wp:effectExtent l="0" t="0" r="889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39534" cy="3305636"/>
                    </a:xfrm>
                    <a:prstGeom prst="rect">
                      <a:avLst/>
                    </a:prstGeom>
                  </pic:spPr>
                </pic:pic>
              </a:graphicData>
            </a:graphic>
          </wp:inline>
        </w:drawing>
      </w:r>
    </w:p>
    <w:p w:rsidR="00D837F8" w:rsidRDefault="00D837F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p w:rsidR="009B7478" w:rsidRDefault="009B7478">
      <w:r w:rsidRPr="009B7478">
        <w:rPr>
          <w:noProof/>
          <w:lang w:eastAsia="en-GB"/>
        </w:rPr>
        <w:lastRenderedPageBreak/>
        <w:drawing>
          <wp:inline distT="0" distB="0" distL="0" distR="0" wp14:anchorId="181C4CE3" wp14:editId="720B862F">
            <wp:extent cx="4782217" cy="704948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782217" cy="7049484"/>
                    </a:xfrm>
                    <a:prstGeom prst="rect">
                      <a:avLst/>
                    </a:prstGeom>
                  </pic:spPr>
                </pic:pic>
              </a:graphicData>
            </a:graphic>
          </wp:inline>
        </w:drawing>
      </w:r>
    </w:p>
    <w:p w:rsidR="009B7478" w:rsidRDefault="009B7478">
      <w:r w:rsidRPr="009B7478">
        <w:rPr>
          <w:noProof/>
          <w:lang w:eastAsia="en-GB"/>
        </w:rPr>
        <w:lastRenderedPageBreak/>
        <w:drawing>
          <wp:inline distT="0" distB="0" distL="0" distR="0" wp14:anchorId="61D17968" wp14:editId="7FBF78D3">
            <wp:extent cx="4505954" cy="5020376"/>
            <wp:effectExtent l="0" t="0" r="952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05954" cy="5020376"/>
                    </a:xfrm>
                    <a:prstGeom prst="rect">
                      <a:avLst/>
                    </a:prstGeom>
                  </pic:spPr>
                </pic:pic>
              </a:graphicData>
            </a:graphic>
          </wp:inline>
        </w:drawing>
      </w:r>
    </w:p>
    <w:p w:rsidR="009B7478" w:rsidRDefault="009B7478">
      <w:r w:rsidRPr="009B7478">
        <w:rPr>
          <w:noProof/>
          <w:lang w:eastAsia="en-GB"/>
        </w:rPr>
        <w:lastRenderedPageBreak/>
        <w:drawing>
          <wp:inline distT="0" distB="0" distL="0" distR="0" wp14:anchorId="4600A926" wp14:editId="1D3368F8">
            <wp:extent cx="4505954" cy="4420217"/>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05954" cy="4420217"/>
                    </a:xfrm>
                    <a:prstGeom prst="rect">
                      <a:avLst/>
                    </a:prstGeom>
                  </pic:spPr>
                </pic:pic>
              </a:graphicData>
            </a:graphic>
          </wp:inline>
        </w:drawing>
      </w:r>
    </w:p>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p w:rsidR="004D5C8B" w:rsidRDefault="004D5C8B">
      <w:r w:rsidRPr="004D5C8B">
        <w:rPr>
          <w:noProof/>
          <w:lang w:eastAsia="en-GB"/>
        </w:rPr>
        <w:lastRenderedPageBreak/>
        <w:drawing>
          <wp:inline distT="0" distB="0" distL="0" distR="0" wp14:anchorId="3F636F24" wp14:editId="22AE1134">
            <wp:extent cx="4953691" cy="823074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953691" cy="8230749"/>
                    </a:xfrm>
                    <a:prstGeom prst="rect">
                      <a:avLst/>
                    </a:prstGeom>
                  </pic:spPr>
                </pic:pic>
              </a:graphicData>
            </a:graphic>
          </wp:inline>
        </w:drawing>
      </w:r>
    </w:p>
    <w:p w:rsidR="009B7478" w:rsidRDefault="009B7478"/>
    <w:sectPr w:rsidR="009B747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2C0" w:rsidRDefault="005112C0" w:rsidP="005112C0">
      <w:pPr>
        <w:spacing w:after="0" w:line="240" w:lineRule="auto"/>
      </w:pPr>
      <w:r>
        <w:separator/>
      </w:r>
    </w:p>
  </w:endnote>
  <w:endnote w:type="continuationSeparator" w:id="0">
    <w:p w:rsidR="005112C0" w:rsidRDefault="005112C0" w:rsidP="00511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2C0" w:rsidRDefault="00511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2C0" w:rsidRDefault="00511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2C0" w:rsidRDefault="00511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2C0" w:rsidRDefault="005112C0" w:rsidP="005112C0">
      <w:pPr>
        <w:spacing w:after="0" w:line="240" w:lineRule="auto"/>
      </w:pPr>
      <w:r>
        <w:separator/>
      </w:r>
    </w:p>
  </w:footnote>
  <w:footnote w:type="continuationSeparator" w:id="0">
    <w:p w:rsidR="005112C0" w:rsidRDefault="005112C0" w:rsidP="00511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2C0" w:rsidRDefault="00511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61477"/>
      <w:docPartObj>
        <w:docPartGallery w:val="Page Numbers (Top of Page)"/>
        <w:docPartUnique/>
      </w:docPartObj>
    </w:sdtPr>
    <w:sdtEndPr>
      <w:rPr>
        <w:noProof/>
      </w:rPr>
    </w:sdtEndPr>
    <w:sdtContent>
      <w:p w:rsidR="005112C0" w:rsidRDefault="005112C0">
        <w:pPr>
          <w:pStyle w:val="Header"/>
          <w:jc w:val="right"/>
        </w:pPr>
        <w:r>
          <w:fldChar w:fldCharType="begin"/>
        </w:r>
        <w:r>
          <w:instrText xml:space="preserve"> PAGE   \* MERGEFORMAT </w:instrText>
        </w:r>
        <w:r>
          <w:fldChar w:fldCharType="separate"/>
        </w:r>
        <w:r w:rsidR="00CA2552">
          <w:rPr>
            <w:noProof/>
          </w:rPr>
          <w:t>2</w:t>
        </w:r>
        <w:r>
          <w:rPr>
            <w:noProof/>
          </w:rPr>
          <w:fldChar w:fldCharType="end"/>
        </w:r>
      </w:p>
    </w:sdtContent>
  </w:sdt>
  <w:p w:rsidR="005112C0" w:rsidRDefault="00511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2C0" w:rsidRDefault="00511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01E2B"/>
    <w:multiLevelType w:val="multilevel"/>
    <w:tmpl w:val="FAD8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F8"/>
    <w:rsid w:val="000454D7"/>
    <w:rsid w:val="000761E4"/>
    <w:rsid w:val="00083CFF"/>
    <w:rsid w:val="00091E1E"/>
    <w:rsid w:val="00093D17"/>
    <w:rsid w:val="000C4429"/>
    <w:rsid w:val="000C6098"/>
    <w:rsid w:val="000D56AF"/>
    <w:rsid w:val="00102C15"/>
    <w:rsid w:val="00113E9F"/>
    <w:rsid w:val="0011542E"/>
    <w:rsid w:val="0012663B"/>
    <w:rsid w:val="00126DE5"/>
    <w:rsid w:val="001366AD"/>
    <w:rsid w:val="001577C0"/>
    <w:rsid w:val="00164668"/>
    <w:rsid w:val="0018753A"/>
    <w:rsid w:val="00194751"/>
    <w:rsid w:val="001A0783"/>
    <w:rsid w:val="001A28A0"/>
    <w:rsid w:val="001A5882"/>
    <w:rsid w:val="001A76C3"/>
    <w:rsid w:val="001B2B13"/>
    <w:rsid w:val="001C084A"/>
    <w:rsid w:val="001D67E2"/>
    <w:rsid w:val="001E58F0"/>
    <w:rsid w:val="001F0A83"/>
    <w:rsid w:val="00210556"/>
    <w:rsid w:val="00223841"/>
    <w:rsid w:val="002318F7"/>
    <w:rsid w:val="002326E4"/>
    <w:rsid w:val="00245048"/>
    <w:rsid w:val="00245820"/>
    <w:rsid w:val="00247516"/>
    <w:rsid w:val="002750C9"/>
    <w:rsid w:val="00277B50"/>
    <w:rsid w:val="00291348"/>
    <w:rsid w:val="00296D86"/>
    <w:rsid w:val="002A38BB"/>
    <w:rsid w:val="002B125A"/>
    <w:rsid w:val="002B2A48"/>
    <w:rsid w:val="002F5FE5"/>
    <w:rsid w:val="0032099D"/>
    <w:rsid w:val="00323717"/>
    <w:rsid w:val="00331C17"/>
    <w:rsid w:val="0035311A"/>
    <w:rsid w:val="00355191"/>
    <w:rsid w:val="00363A49"/>
    <w:rsid w:val="00395BC8"/>
    <w:rsid w:val="003B193D"/>
    <w:rsid w:val="003C6879"/>
    <w:rsid w:val="003E4C26"/>
    <w:rsid w:val="003E5BF7"/>
    <w:rsid w:val="00400D83"/>
    <w:rsid w:val="00405DAD"/>
    <w:rsid w:val="00445631"/>
    <w:rsid w:val="00461A00"/>
    <w:rsid w:val="004A1013"/>
    <w:rsid w:val="004C42D8"/>
    <w:rsid w:val="004C65EA"/>
    <w:rsid w:val="004C7B57"/>
    <w:rsid w:val="004D5C8B"/>
    <w:rsid w:val="004F64A1"/>
    <w:rsid w:val="005027F6"/>
    <w:rsid w:val="00506D4F"/>
    <w:rsid w:val="00510126"/>
    <w:rsid w:val="0051068C"/>
    <w:rsid w:val="005112C0"/>
    <w:rsid w:val="0051180C"/>
    <w:rsid w:val="00522C81"/>
    <w:rsid w:val="005373C3"/>
    <w:rsid w:val="00543ED6"/>
    <w:rsid w:val="005563DA"/>
    <w:rsid w:val="00560AB6"/>
    <w:rsid w:val="0058091E"/>
    <w:rsid w:val="005A0383"/>
    <w:rsid w:val="005A4252"/>
    <w:rsid w:val="005B2AC0"/>
    <w:rsid w:val="005C0DFE"/>
    <w:rsid w:val="005C1A58"/>
    <w:rsid w:val="005D0F42"/>
    <w:rsid w:val="005F48BD"/>
    <w:rsid w:val="005F7A7E"/>
    <w:rsid w:val="006135FB"/>
    <w:rsid w:val="00626C9F"/>
    <w:rsid w:val="006338F6"/>
    <w:rsid w:val="006405E4"/>
    <w:rsid w:val="00642BDE"/>
    <w:rsid w:val="006669D2"/>
    <w:rsid w:val="006A06E8"/>
    <w:rsid w:val="006A5A63"/>
    <w:rsid w:val="006B35E9"/>
    <w:rsid w:val="006B4538"/>
    <w:rsid w:val="006B64B2"/>
    <w:rsid w:val="006B6D15"/>
    <w:rsid w:val="006D001B"/>
    <w:rsid w:val="007058A3"/>
    <w:rsid w:val="0070593B"/>
    <w:rsid w:val="007071DF"/>
    <w:rsid w:val="00735E0A"/>
    <w:rsid w:val="00741FEE"/>
    <w:rsid w:val="007524D8"/>
    <w:rsid w:val="00771752"/>
    <w:rsid w:val="007749D8"/>
    <w:rsid w:val="007769DF"/>
    <w:rsid w:val="00782145"/>
    <w:rsid w:val="007B3A59"/>
    <w:rsid w:val="007B71FD"/>
    <w:rsid w:val="007B75D5"/>
    <w:rsid w:val="007C0591"/>
    <w:rsid w:val="007D34E1"/>
    <w:rsid w:val="007D5CBD"/>
    <w:rsid w:val="007E4F21"/>
    <w:rsid w:val="007F400F"/>
    <w:rsid w:val="00810817"/>
    <w:rsid w:val="00835DDC"/>
    <w:rsid w:val="0084174B"/>
    <w:rsid w:val="0084386B"/>
    <w:rsid w:val="008547D2"/>
    <w:rsid w:val="0085556E"/>
    <w:rsid w:val="00873548"/>
    <w:rsid w:val="00884D40"/>
    <w:rsid w:val="00886C7A"/>
    <w:rsid w:val="00891D7C"/>
    <w:rsid w:val="008B09E5"/>
    <w:rsid w:val="008B5D2F"/>
    <w:rsid w:val="008C4A8D"/>
    <w:rsid w:val="008F0E23"/>
    <w:rsid w:val="009172F6"/>
    <w:rsid w:val="00932748"/>
    <w:rsid w:val="009451AE"/>
    <w:rsid w:val="00950B78"/>
    <w:rsid w:val="009749C3"/>
    <w:rsid w:val="00983E0B"/>
    <w:rsid w:val="009A41BD"/>
    <w:rsid w:val="009B7478"/>
    <w:rsid w:val="009C59F6"/>
    <w:rsid w:val="009C6953"/>
    <w:rsid w:val="009C7AD9"/>
    <w:rsid w:val="009E49A9"/>
    <w:rsid w:val="009F57C6"/>
    <w:rsid w:val="009F6475"/>
    <w:rsid w:val="009F7926"/>
    <w:rsid w:val="00A05DEE"/>
    <w:rsid w:val="00A07520"/>
    <w:rsid w:val="00A13F6F"/>
    <w:rsid w:val="00A14B03"/>
    <w:rsid w:val="00A16829"/>
    <w:rsid w:val="00A30A89"/>
    <w:rsid w:val="00A40A85"/>
    <w:rsid w:val="00A509D4"/>
    <w:rsid w:val="00A743C0"/>
    <w:rsid w:val="00A87F5E"/>
    <w:rsid w:val="00AB1824"/>
    <w:rsid w:val="00AB54B2"/>
    <w:rsid w:val="00AD16B0"/>
    <w:rsid w:val="00B04091"/>
    <w:rsid w:val="00B103F0"/>
    <w:rsid w:val="00B169C7"/>
    <w:rsid w:val="00B57271"/>
    <w:rsid w:val="00B637A8"/>
    <w:rsid w:val="00B67184"/>
    <w:rsid w:val="00B85C64"/>
    <w:rsid w:val="00B9055F"/>
    <w:rsid w:val="00B9344A"/>
    <w:rsid w:val="00B960D7"/>
    <w:rsid w:val="00BC2661"/>
    <w:rsid w:val="00C05D3A"/>
    <w:rsid w:val="00C105E0"/>
    <w:rsid w:val="00C139A2"/>
    <w:rsid w:val="00C33A08"/>
    <w:rsid w:val="00C430CD"/>
    <w:rsid w:val="00C74AE8"/>
    <w:rsid w:val="00C90F4F"/>
    <w:rsid w:val="00C93038"/>
    <w:rsid w:val="00C93BC5"/>
    <w:rsid w:val="00CA2552"/>
    <w:rsid w:val="00CC2E74"/>
    <w:rsid w:val="00CD6389"/>
    <w:rsid w:val="00CE7B01"/>
    <w:rsid w:val="00D00B49"/>
    <w:rsid w:val="00D15211"/>
    <w:rsid w:val="00D255A9"/>
    <w:rsid w:val="00D837F8"/>
    <w:rsid w:val="00D85566"/>
    <w:rsid w:val="00D97B8F"/>
    <w:rsid w:val="00DB5141"/>
    <w:rsid w:val="00DB7C39"/>
    <w:rsid w:val="00DE7930"/>
    <w:rsid w:val="00E15CA8"/>
    <w:rsid w:val="00E15ECB"/>
    <w:rsid w:val="00E15FC3"/>
    <w:rsid w:val="00E33E49"/>
    <w:rsid w:val="00E45EFC"/>
    <w:rsid w:val="00E550D0"/>
    <w:rsid w:val="00E83119"/>
    <w:rsid w:val="00E85D4F"/>
    <w:rsid w:val="00E91A32"/>
    <w:rsid w:val="00E930B2"/>
    <w:rsid w:val="00EA0807"/>
    <w:rsid w:val="00EA417E"/>
    <w:rsid w:val="00EC0B7A"/>
    <w:rsid w:val="00EC4AF6"/>
    <w:rsid w:val="00F05F9E"/>
    <w:rsid w:val="00F066E8"/>
    <w:rsid w:val="00F06A0E"/>
    <w:rsid w:val="00F20952"/>
    <w:rsid w:val="00F5151A"/>
    <w:rsid w:val="00F51DFF"/>
    <w:rsid w:val="00F5224B"/>
    <w:rsid w:val="00F56C32"/>
    <w:rsid w:val="00F66D72"/>
    <w:rsid w:val="00F706B7"/>
    <w:rsid w:val="00F80B38"/>
    <w:rsid w:val="00F90318"/>
    <w:rsid w:val="00F97038"/>
    <w:rsid w:val="00FC5800"/>
    <w:rsid w:val="00FF2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B95D"/>
  <w15:chartTrackingRefBased/>
  <w15:docId w15:val="{8019F86F-9D76-4F22-8935-3F13C63F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7F8"/>
    <w:rPr>
      <w:color w:val="0000FF" w:themeColor="hyperlink"/>
      <w:u w:val="single"/>
    </w:rPr>
  </w:style>
  <w:style w:type="paragraph" w:styleId="Header">
    <w:name w:val="header"/>
    <w:basedOn w:val="Normal"/>
    <w:link w:val="HeaderChar"/>
    <w:uiPriority w:val="99"/>
    <w:unhideWhenUsed/>
    <w:rsid w:val="005112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2C0"/>
  </w:style>
  <w:style w:type="paragraph" w:styleId="Footer">
    <w:name w:val="footer"/>
    <w:basedOn w:val="Normal"/>
    <w:link w:val="FooterChar"/>
    <w:uiPriority w:val="99"/>
    <w:unhideWhenUsed/>
    <w:rsid w:val="005112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2C0"/>
  </w:style>
  <w:style w:type="paragraph" w:styleId="NoSpacing">
    <w:name w:val="No Spacing"/>
    <w:uiPriority w:val="1"/>
    <w:qFormat/>
    <w:rsid w:val="00EA417E"/>
    <w:pPr>
      <w:spacing w:after="0" w:line="240" w:lineRule="auto"/>
    </w:pPr>
  </w:style>
  <w:style w:type="paragraph" w:styleId="NormalWeb">
    <w:name w:val="Normal (Web)"/>
    <w:basedOn w:val="Normal"/>
    <w:uiPriority w:val="99"/>
    <w:unhideWhenUsed/>
    <w:rsid w:val="00CA255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PDF/?uri=CELEX:02009R1010-20200327&amp;qid=1603104028838&amp;from=EN"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eur-lex.europa.eu/legal-content/EN/TXT/PDF/?uri=CELEX:02008R1005-20110309&amp;qid=1603103695672&amp;from=EN" TargetMode="Externa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www.mmotraining.org.uk/"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ur-lex.europa.eu/legal-content/EN/TXT/PDF/?uri=CELEX:02009R1010-20200327&amp;qid=1603104028838&amp;from=EN" TargetMode="External"/><Relationship Id="rId14" Type="http://schemas.openxmlformats.org/officeDocument/2006/relationships/image" Target="media/image4.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8</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McRory</dc:creator>
  <cp:keywords/>
  <dc:description/>
  <cp:lastModifiedBy>Brenda McRory</cp:lastModifiedBy>
  <cp:revision>6</cp:revision>
  <dcterms:created xsi:type="dcterms:W3CDTF">2020-10-19T10:35:00Z</dcterms:created>
  <dcterms:modified xsi:type="dcterms:W3CDTF">2020-10-19T11:43:00Z</dcterms:modified>
</cp:coreProperties>
</file>